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0B75D" w14:textId="77777777" w:rsidR="00117358" w:rsidRDefault="006015A5" w:rsidP="0011735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EE07C2">
        <w:rPr>
          <w:rFonts w:asciiTheme="minorHAnsi" w:hAnsiTheme="minorHAnsi" w:cstheme="minorHAnsi"/>
          <w:i/>
          <w:sz w:val="24"/>
          <w:szCs w:val="24"/>
        </w:rPr>
        <w:t>I</w:t>
      </w:r>
      <w:r w:rsidR="00117358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>: PLAZOS</w:t>
      </w:r>
      <w:r w:rsidR="00EE07C2">
        <w:rPr>
          <w:rFonts w:asciiTheme="minorHAnsi" w:hAnsiTheme="minorHAnsi" w:cstheme="minorHAnsi"/>
          <w:i/>
          <w:sz w:val="24"/>
          <w:szCs w:val="24"/>
        </w:rPr>
        <w:t xml:space="preserve"> DE </w:t>
      </w:r>
      <w:r w:rsidR="00117358">
        <w:rPr>
          <w:rFonts w:asciiTheme="minorHAnsi" w:hAnsiTheme="minorHAnsi" w:cstheme="minorHAnsi"/>
          <w:i/>
          <w:sz w:val="24"/>
          <w:szCs w:val="24"/>
        </w:rPr>
        <w:t>ENTREGA</w:t>
      </w:r>
    </w:p>
    <w:p w14:paraId="0F60842C" w14:textId="6DA5AD80" w:rsidR="00117358" w:rsidRPr="00117358" w:rsidRDefault="00117358" w:rsidP="0011735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LOTE 1 </w:t>
      </w:r>
      <w:r w:rsidR="002560EA" w:rsidRPr="002560EA">
        <w:rPr>
          <w:rFonts w:asciiTheme="minorHAnsi" w:hAnsiTheme="minorHAnsi" w:cstheme="minorHAnsi"/>
          <w:i/>
          <w:sz w:val="24"/>
          <w:szCs w:val="24"/>
        </w:rPr>
        <w:t>MATERIALES IMPRESOS: PAPEL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087F228B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A682DD8" w14:textId="77777777" w:rsidR="002560EA" w:rsidRDefault="002560EA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B5B01E8" w14:textId="54563626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2E712E7A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930275">
        <w:rPr>
          <w:rFonts w:asciiTheme="minorHAnsi" w:hAnsiTheme="minorHAnsi" w:cstheme="minorHAnsi"/>
          <w:sz w:val="22"/>
          <w:szCs w:val="22"/>
        </w:rPr>
        <w:t>los materiales según las características técnicas requeridas.</w:t>
      </w:r>
    </w:p>
    <w:p w14:paraId="4097A3AF" w14:textId="436F6517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</w:t>
      </w:r>
      <w:r w:rsidR="00930275">
        <w:rPr>
          <w:rFonts w:asciiTheme="minorHAnsi" w:hAnsiTheme="minorHAnsi" w:cstheme="minorHAnsi"/>
          <w:sz w:val="22"/>
          <w:szCs w:val="22"/>
        </w:rPr>
        <w:t>entrega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Pr="002560E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superarán </w:t>
      </w:r>
      <w:r w:rsidR="00C23616">
        <w:rPr>
          <w:rFonts w:asciiTheme="minorHAnsi" w:hAnsiTheme="minorHAnsi" w:cstheme="minorHAnsi"/>
          <w:b/>
          <w:bCs/>
          <w:sz w:val="22"/>
          <w:szCs w:val="22"/>
          <w:u w:val="single"/>
        </w:rPr>
        <w:t>las</w:t>
      </w:r>
      <w:r w:rsidR="00930275" w:rsidRPr="002560E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C23616">
        <w:rPr>
          <w:rFonts w:asciiTheme="minorHAnsi" w:hAnsiTheme="minorHAnsi" w:cstheme="minorHAnsi"/>
          <w:b/>
          <w:bCs/>
          <w:sz w:val="22"/>
          <w:szCs w:val="22"/>
          <w:u w:val="single"/>
        </w:rPr>
        <w:t>nueve</w:t>
      </w:r>
      <w:r w:rsidR="00930275" w:rsidRPr="002560E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(</w:t>
      </w:r>
      <w:r w:rsidR="00C23616">
        <w:rPr>
          <w:rFonts w:asciiTheme="minorHAnsi" w:hAnsiTheme="minorHAnsi" w:cstheme="minorHAnsi"/>
          <w:b/>
          <w:bCs/>
          <w:sz w:val="22"/>
          <w:szCs w:val="22"/>
          <w:u w:val="single"/>
        </w:rPr>
        <w:t>9</w:t>
      </w:r>
      <w:r w:rsidR="00930275" w:rsidRPr="002560E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) </w:t>
      </w:r>
      <w:r w:rsidR="00C23616">
        <w:rPr>
          <w:rFonts w:asciiTheme="minorHAnsi" w:hAnsiTheme="minorHAnsi" w:cstheme="minorHAnsi"/>
          <w:b/>
          <w:bCs/>
          <w:sz w:val="22"/>
          <w:szCs w:val="22"/>
          <w:u w:val="single"/>
        </w:rPr>
        <w:t>semanas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y que durante la </w:t>
      </w:r>
      <w:r w:rsidR="00490E02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tbl>
      <w:tblPr>
        <w:tblW w:w="8081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4459"/>
        <w:gridCol w:w="2126"/>
      </w:tblGrid>
      <w:tr w:rsidR="00930275" w:rsidRPr="008328A3" w14:paraId="305AC82B" w14:textId="77777777" w:rsidTr="002560EA">
        <w:trPr>
          <w:trHeight w:val="578"/>
          <w:jc w:val="center"/>
        </w:trPr>
        <w:tc>
          <w:tcPr>
            <w:tcW w:w="1496" w:type="dxa"/>
            <w:shd w:val="clear" w:color="000000" w:fill="548DD4"/>
            <w:vAlign w:val="center"/>
            <w:hideMark/>
          </w:tcPr>
          <w:p w14:paraId="3F90A8BA" w14:textId="1A165455" w:rsidR="00930275" w:rsidRPr="002560EA" w:rsidRDefault="00930275" w:rsidP="005D035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459" w:type="dxa"/>
            <w:shd w:val="clear" w:color="000000" w:fill="548DD4"/>
            <w:vAlign w:val="center"/>
            <w:hideMark/>
          </w:tcPr>
          <w:p w14:paraId="2BA5C78E" w14:textId="77777777" w:rsidR="00930275" w:rsidRPr="002560EA" w:rsidRDefault="0093027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39559C6C" w14:textId="77777777" w:rsidR="00930275" w:rsidRPr="002560EA" w:rsidRDefault="0093027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69C9ACA6" w:rsidR="00930275" w:rsidRPr="002560EA" w:rsidRDefault="00930275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 w:rsidR="00C23616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="006F146C"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 *</w:t>
            </w:r>
          </w:p>
        </w:tc>
      </w:tr>
      <w:tr w:rsidR="002560EA" w:rsidRPr="00654FE7" w14:paraId="2F1A02B4" w14:textId="77777777" w:rsidTr="00187145">
        <w:trPr>
          <w:trHeight w:val="284"/>
          <w:jc w:val="center"/>
        </w:trPr>
        <w:tc>
          <w:tcPr>
            <w:tcW w:w="1496" w:type="dxa"/>
            <w:shd w:val="clear" w:color="auto" w:fill="DBE5F1" w:themeFill="accent1" w:themeFillTint="33"/>
            <w:noWrap/>
            <w:vAlign w:val="center"/>
          </w:tcPr>
          <w:p w14:paraId="7A51300F" w14:textId="4189246A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60089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17ADA6AA" w14:textId="3E08CF66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INCIDENCIAS CON REPERCUSION ECONOMICA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F1F391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3DBD8D0F" w14:textId="77777777" w:rsidTr="00187145">
        <w:trPr>
          <w:trHeight w:val="284"/>
          <w:jc w:val="center"/>
        </w:trPr>
        <w:tc>
          <w:tcPr>
            <w:tcW w:w="1496" w:type="dxa"/>
            <w:shd w:val="clear" w:color="auto" w:fill="DBE5F1" w:themeFill="accent1" w:themeFillTint="33"/>
            <w:noWrap/>
            <w:vAlign w:val="center"/>
          </w:tcPr>
          <w:p w14:paraId="136FCA3D" w14:textId="09EE55EE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60094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42AE4A58" w14:textId="44C72B2E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ABONO P/DESP. MAQ. DENTRO JORN. (25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6E9100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5135910D" w14:textId="77777777" w:rsidTr="00187145">
        <w:trPr>
          <w:trHeight w:val="284"/>
          <w:jc w:val="center"/>
        </w:trPr>
        <w:tc>
          <w:tcPr>
            <w:tcW w:w="1496" w:type="dxa"/>
            <w:shd w:val="clear" w:color="auto" w:fill="DBE5F1" w:themeFill="accent1" w:themeFillTint="33"/>
            <w:noWrap/>
            <w:vAlign w:val="center"/>
          </w:tcPr>
          <w:p w14:paraId="3A90B757" w14:textId="58BDBC8C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60390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5CD66124" w14:textId="7D9C532B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ENSOBRAD. OFFICERIGHT DI380 (250UN)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D76B20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78312C79" w14:textId="77777777" w:rsidTr="00187145">
        <w:trPr>
          <w:trHeight w:val="284"/>
          <w:jc w:val="center"/>
        </w:trPr>
        <w:tc>
          <w:tcPr>
            <w:tcW w:w="1496" w:type="dxa"/>
            <w:shd w:val="clear" w:color="auto" w:fill="DBE5F1" w:themeFill="accent1" w:themeFillTint="33"/>
            <w:noWrap/>
            <w:vAlign w:val="center"/>
          </w:tcPr>
          <w:p w14:paraId="264916B4" w14:textId="01AB3953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60917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5CF8B009" w14:textId="4BE3D2EE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SOBR.BLANCO TIMBR.120X176, 90 </w:t>
            </w:r>
            <w:proofErr w:type="gramStart"/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G.(</w:t>
            </w:r>
            <w:proofErr w:type="gramEnd"/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100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119FEE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7480880C" w14:textId="77777777" w:rsidTr="00187145">
        <w:trPr>
          <w:trHeight w:val="284"/>
          <w:jc w:val="center"/>
        </w:trPr>
        <w:tc>
          <w:tcPr>
            <w:tcW w:w="1496" w:type="dxa"/>
            <w:shd w:val="clear" w:color="auto" w:fill="DBE5F1" w:themeFill="accent1" w:themeFillTint="33"/>
            <w:noWrap/>
            <w:vAlign w:val="center"/>
          </w:tcPr>
          <w:p w14:paraId="500F0564" w14:textId="7285BA53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60926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6B4EC057" w14:textId="094DEE64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SOB. BLANC.TIMB.162X229 90G.AUTODEX (250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35C2D7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017A72E3" w14:textId="77777777" w:rsidTr="00187145">
        <w:trPr>
          <w:trHeight w:val="284"/>
          <w:jc w:val="center"/>
        </w:trPr>
        <w:tc>
          <w:tcPr>
            <w:tcW w:w="1496" w:type="dxa"/>
            <w:shd w:val="clear" w:color="auto" w:fill="DBE5F1" w:themeFill="accent1" w:themeFillTint="33"/>
            <w:noWrap/>
            <w:vAlign w:val="center"/>
          </w:tcPr>
          <w:p w14:paraId="4B890418" w14:textId="4CDDA88F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60930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626EFBFC" w14:textId="035D656C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HOJA DE HORAS EXTRAORDINARIAS</w:t>
            </w:r>
            <w:proofErr w:type="gramStart"/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  (</w:t>
            </w:r>
            <w:proofErr w:type="gramEnd"/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30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C5E8A2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473DF7EC" w14:textId="77777777" w:rsidTr="00187145">
        <w:trPr>
          <w:trHeight w:val="284"/>
          <w:jc w:val="center"/>
        </w:trPr>
        <w:tc>
          <w:tcPr>
            <w:tcW w:w="1496" w:type="dxa"/>
            <w:shd w:val="clear" w:color="auto" w:fill="DBE5F1" w:themeFill="accent1" w:themeFillTint="33"/>
            <w:noWrap/>
            <w:vAlign w:val="center"/>
          </w:tcPr>
          <w:p w14:paraId="232D349A" w14:textId="65451E0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60933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1847B16B" w14:textId="2FDE2CE3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SOBR.BLANCO TIMBR.190X250,100 G (250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6E1590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46390E85" w14:textId="77777777" w:rsidTr="00187145">
        <w:trPr>
          <w:trHeight w:val="284"/>
          <w:jc w:val="center"/>
        </w:trPr>
        <w:tc>
          <w:tcPr>
            <w:tcW w:w="1496" w:type="dxa"/>
            <w:shd w:val="clear" w:color="auto" w:fill="DBE5F1" w:themeFill="accent1" w:themeFillTint="33"/>
            <w:noWrap/>
            <w:vAlign w:val="center"/>
          </w:tcPr>
          <w:p w14:paraId="5BB29226" w14:textId="6BB69D45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60945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6C9D9B1C" w14:textId="5E42280D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CARTA SENCILLA (</w:t>
            </w:r>
            <w:proofErr w:type="gramStart"/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CAVANILLES)   </w:t>
            </w:r>
            <w:proofErr w:type="gramEnd"/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 (500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54832B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5561F8ED" w14:textId="1FA1DAB2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2560EA">
      <w:pPr>
        <w:pStyle w:val="Textosinformato"/>
        <w:spacing w:after="120" w:line="312" w:lineRule="auto"/>
        <w:ind w:left="720" w:hanging="436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B0455C" w14:textId="490E0553" w:rsidR="0035379F" w:rsidRPr="002560EA" w:rsidRDefault="008328A3" w:rsidP="002560EA">
      <w:pPr>
        <w:pStyle w:val="Prrafodelista"/>
        <w:numPr>
          <w:ilvl w:val="0"/>
          <w:numId w:val="11"/>
        </w:numPr>
        <w:spacing w:after="120" w:line="312" w:lineRule="auto"/>
        <w:ind w:left="993" w:hanging="436"/>
        <w:jc w:val="both"/>
        <w:rPr>
          <w:rFonts w:asciiTheme="minorHAnsi" w:hAnsiTheme="minorHAnsi" w:cstheme="minorHAnsi"/>
          <w:sz w:val="22"/>
          <w:szCs w:val="22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Se debe cumplimentar la columna habilitada para tal efecto. El plazo de suministro será contado desde la fecha de </w:t>
      </w:r>
      <w:r w:rsidR="001070FD">
        <w:rPr>
          <w:rFonts w:asciiTheme="minorHAnsi" w:hAnsiTheme="minorHAnsi" w:cstheme="minorHAnsi"/>
          <w:i/>
          <w:sz w:val="18"/>
          <w:szCs w:val="18"/>
        </w:rPr>
        <w:t>validación del boceto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3A2147" w:rsidRPr="003A2147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 w:rsidR="003A2147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Según se recoge en el PPT.</w:t>
      </w:r>
    </w:p>
    <w:p w14:paraId="5B2729E5" w14:textId="77777777" w:rsidR="002560EA" w:rsidRDefault="002560E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B5F4F3B" w14:textId="77777777" w:rsidR="001070FD" w:rsidRDefault="001070F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544E6EB" w14:textId="77777777" w:rsidR="001070FD" w:rsidRDefault="001070F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08A269B" w14:textId="77777777" w:rsidR="001070FD" w:rsidRDefault="001070F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5CEBBFBA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CC75734" w14:textId="77777777" w:rsidR="001070FD" w:rsidRDefault="001070F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7780E69" w14:textId="77777777" w:rsidR="001070FD" w:rsidRDefault="001070F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1FB8EDC" w14:textId="77777777" w:rsidR="001070FD" w:rsidRDefault="001070F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0D9EDC1" w14:textId="77777777" w:rsidR="001070FD" w:rsidRDefault="001070F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C0F6693" w14:textId="77777777" w:rsidR="001070FD" w:rsidRDefault="001070F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59B3695F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DE3A4D" w14:textId="77777777" w:rsidR="002560EA" w:rsidRPr="00007C77" w:rsidRDefault="002560EA" w:rsidP="00007C77">
      <w:pPr>
        <w:rPr>
          <w:rFonts w:asciiTheme="minorHAnsi" w:hAnsiTheme="minorHAnsi" w:cstheme="minorHAnsi"/>
          <w:sz w:val="22"/>
          <w:szCs w:val="22"/>
        </w:rPr>
      </w:pPr>
    </w:p>
    <w:p w14:paraId="1660184C" w14:textId="77777777" w:rsidR="004671DD" w:rsidRDefault="004671DD" w:rsidP="004671D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lastRenderedPageBreak/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II: PLAZOS DE ENTREGA</w:t>
      </w:r>
    </w:p>
    <w:p w14:paraId="7F90DA78" w14:textId="5E1E34B3" w:rsidR="004671DD" w:rsidRPr="00117358" w:rsidRDefault="004671DD" w:rsidP="004671D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LOTE 2 </w:t>
      </w:r>
      <w:r w:rsidR="002560EA" w:rsidRPr="002560EA">
        <w:rPr>
          <w:rFonts w:asciiTheme="minorHAnsi" w:hAnsiTheme="minorHAnsi" w:cstheme="minorHAnsi"/>
          <w:i/>
          <w:sz w:val="24"/>
          <w:szCs w:val="24"/>
        </w:rPr>
        <w:t>MATERIALES IMPRESOS: SOBRES DE PLÁSTICO</w:t>
      </w:r>
    </w:p>
    <w:p w14:paraId="731A3D01" w14:textId="77777777" w:rsidR="004671DD" w:rsidRPr="00007C77" w:rsidRDefault="004671DD" w:rsidP="004671DD"/>
    <w:p w14:paraId="50A342AD" w14:textId="77777777" w:rsidR="004671DD" w:rsidRPr="009252C7" w:rsidRDefault="004671DD" w:rsidP="004671DD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Pr="008403BF">
        <w:rPr>
          <w:b/>
          <w:i/>
          <w:color w:val="C00000"/>
          <w:sz w:val="18"/>
          <w:szCs w:val="18"/>
        </w:rPr>
        <w:t>A incluir en la carpeta nº2</w:t>
      </w:r>
    </w:p>
    <w:p w14:paraId="2241D5AB" w14:textId="77777777" w:rsidR="004671DD" w:rsidRPr="00CC056C" w:rsidRDefault="004671DD" w:rsidP="004671DD"/>
    <w:p w14:paraId="52AECD66" w14:textId="77777777" w:rsidR="004671DD" w:rsidRPr="002231F0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170A9873" w14:textId="77777777" w:rsidR="004671DD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C8737D1" w14:textId="77777777" w:rsidR="004671DD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74FDB4" w14:textId="77777777" w:rsidR="004671DD" w:rsidRPr="00CC056C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3535C5BF" w14:textId="77777777" w:rsidR="004671DD" w:rsidRDefault="004671DD" w:rsidP="004671D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>
        <w:rPr>
          <w:rFonts w:asciiTheme="minorHAnsi" w:hAnsiTheme="minorHAnsi" w:cstheme="minorHAnsi"/>
          <w:sz w:val="22"/>
          <w:szCs w:val="22"/>
        </w:rPr>
        <w:t>los materiales según las características técnicas requeridas.</w:t>
      </w:r>
    </w:p>
    <w:p w14:paraId="6AF004AE" w14:textId="729DE4F9" w:rsidR="004671DD" w:rsidRDefault="004671DD" w:rsidP="004671D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</w:t>
      </w:r>
      <w:r>
        <w:rPr>
          <w:rFonts w:asciiTheme="minorHAnsi" w:hAnsiTheme="minorHAnsi" w:cstheme="minorHAnsi"/>
          <w:sz w:val="22"/>
          <w:szCs w:val="22"/>
        </w:rPr>
        <w:t>entrega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Pr="00FE4F9A">
        <w:rPr>
          <w:rFonts w:asciiTheme="minorHAnsi" w:hAnsiTheme="minorHAnsi" w:cstheme="minorHAnsi"/>
          <w:b/>
          <w:bCs/>
          <w:sz w:val="22"/>
          <w:szCs w:val="22"/>
          <w:u w:val="single"/>
        </w:rPr>
        <w:t>no superarán l</w:t>
      </w:r>
      <w:r w:rsidR="00FF2B21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FE4F9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 </w:t>
      </w:r>
      <w:r w:rsidR="00FF2B21">
        <w:rPr>
          <w:rFonts w:asciiTheme="minorHAnsi" w:hAnsiTheme="minorHAnsi" w:cstheme="minorHAnsi"/>
          <w:b/>
          <w:bCs/>
          <w:sz w:val="22"/>
          <w:szCs w:val="22"/>
          <w:u w:val="single"/>
        </w:rPr>
        <w:t>nueve</w:t>
      </w:r>
      <w:r w:rsidRPr="00FE4F9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(</w:t>
      </w:r>
      <w:r w:rsidR="00FF2B21">
        <w:rPr>
          <w:rFonts w:asciiTheme="minorHAnsi" w:hAnsiTheme="minorHAnsi" w:cstheme="minorHAnsi"/>
          <w:b/>
          <w:bCs/>
          <w:sz w:val="22"/>
          <w:szCs w:val="22"/>
          <w:u w:val="single"/>
        </w:rPr>
        <w:t>9</w:t>
      </w:r>
      <w:r w:rsidRPr="00FE4F9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) </w:t>
      </w:r>
      <w:r w:rsidR="00FF2B21">
        <w:rPr>
          <w:rFonts w:asciiTheme="minorHAnsi" w:hAnsiTheme="minorHAnsi" w:cstheme="minorHAnsi"/>
          <w:b/>
          <w:bCs/>
          <w:sz w:val="22"/>
          <w:szCs w:val="22"/>
          <w:u w:val="single"/>
        </w:rPr>
        <w:t>semanas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y que durante la </w:t>
      </w:r>
      <w:r w:rsidR="00490E02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p w14:paraId="14F06E51" w14:textId="77777777" w:rsidR="004671DD" w:rsidRPr="00250456" w:rsidRDefault="004671DD" w:rsidP="004671D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7645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459"/>
        <w:gridCol w:w="2126"/>
      </w:tblGrid>
      <w:tr w:rsidR="004671DD" w:rsidRPr="008328A3" w14:paraId="19B59C7C" w14:textId="77777777" w:rsidTr="00F87C91">
        <w:trPr>
          <w:trHeight w:val="975"/>
          <w:jc w:val="center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66C4CA80" w14:textId="77777777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459" w:type="dxa"/>
            <w:shd w:val="clear" w:color="000000" w:fill="548DD4"/>
            <w:vAlign w:val="center"/>
            <w:hideMark/>
          </w:tcPr>
          <w:p w14:paraId="26998FBB" w14:textId="77777777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6C2BBCBE" w14:textId="77777777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64F4AD9F" w14:textId="42746530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 w:rsidR="00490E02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 *</w:t>
            </w:r>
          </w:p>
        </w:tc>
      </w:tr>
      <w:tr w:rsidR="002560EA" w:rsidRPr="00654FE7" w14:paraId="4664D02C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740EDDA" w14:textId="6ADCBADC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60003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40F1B5DD" w14:textId="2CE1916D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SOBRES RECAUDACION PAPEL MONEDA (100 UN)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3DAA7D2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2560EA" w:rsidRPr="00654FE7" w14:paraId="42B36454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2BC7D9E" w14:textId="102F0394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60062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242BEBBE" w14:textId="19CE46E6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OBJETOS PERDIDOS PEQUEÑO (50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FFAD97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7A25E4CD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71CC89F" w14:textId="7D50EB44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60063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2649815C" w14:textId="41FEFC09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OBJETOS PERDIDOS GRANDE (50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F47B2A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34272BD7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AC79811" w14:textId="31295993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60068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762186EF" w14:textId="203684E8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OBJETOS PERDIDOS INVIOLABLE (50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4278F4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131F8" w:rsidRPr="00654FE7" w14:paraId="0BFF3450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957D078" w14:textId="139E4D01" w:rsidR="004131F8" w:rsidRPr="002560EA" w:rsidRDefault="004131F8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60078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68E567FA" w14:textId="33AF53D4" w:rsidR="004131F8" w:rsidRPr="002560EA" w:rsidRDefault="004131F8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SOBRE CORRESP.PLASTICO 27 X </w:t>
            </w:r>
            <w:proofErr w:type="gramStart"/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  (</w:t>
            </w:r>
            <w:proofErr w:type="gramEnd"/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50 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D2E099" w14:textId="77777777" w:rsidR="004131F8" w:rsidRPr="002560EA" w:rsidRDefault="004131F8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49298601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DC9B30A" w14:textId="51C0D5D9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60095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1DE681F8" w14:textId="0F816A10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PRECIN. LLAVE MAQUINAS AUTOMATICAS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14B9D2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131F8" w:rsidRPr="00654FE7" w14:paraId="0390EC0B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C10A556" w14:textId="503388F7" w:rsidR="004131F8" w:rsidRPr="002560EA" w:rsidRDefault="004131F8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61508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35A3B7E6" w14:textId="58F7A3EC" w:rsidR="004131F8" w:rsidRPr="002560EA" w:rsidRDefault="004131F8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proofErr w:type="gramStart"/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SOB.PLAST.CIERRE</w:t>
            </w:r>
            <w:proofErr w:type="gramEnd"/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INVIOLAB.325X370(100Un)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D2BC5B" w14:textId="77777777" w:rsidR="004131F8" w:rsidRPr="002560EA" w:rsidRDefault="004131F8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4F3A6932" w14:textId="77777777" w:rsidR="004671DD" w:rsidRDefault="004671DD" w:rsidP="004671D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EE27344" w14:textId="77777777" w:rsidR="004671DD" w:rsidRDefault="004671DD" w:rsidP="002560EA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04EFA9E0" w14:textId="4D47F482" w:rsidR="004671DD" w:rsidRPr="003A2147" w:rsidRDefault="004671DD" w:rsidP="002560EA">
      <w:pPr>
        <w:pStyle w:val="Prrafodelista"/>
        <w:numPr>
          <w:ilvl w:val="0"/>
          <w:numId w:val="11"/>
        </w:numPr>
        <w:spacing w:after="120" w:line="312" w:lineRule="auto"/>
        <w:ind w:left="1134" w:hanging="294"/>
        <w:jc w:val="both"/>
        <w:rPr>
          <w:rFonts w:asciiTheme="minorHAnsi" w:hAnsiTheme="minorHAnsi" w:cstheme="minorHAnsi"/>
          <w:sz w:val="22"/>
          <w:szCs w:val="22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Se debe cumplimentar la columna habilitada para tal efecto. El plazo de suministro será contado desde la fecha </w:t>
      </w:r>
      <w:r w:rsidR="001070FD">
        <w:rPr>
          <w:rFonts w:asciiTheme="minorHAnsi" w:hAnsiTheme="minorHAnsi" w:cstheme="minorHAnsi"/>
          <w:i/>
          <w:sz w:val="18"/>
          <w:szCs w:val="18"/>
        </w:rPr>
        <w:t>de validación del boceto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Pr="003A2147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>
        <w:rPr>
          <w:rFonts w:asciiTheme="minorHAnsi" w:hAnsiTheme="minorHAnsi" w:cstheme="minorHAnsi"/>
          <w:i/>
          <w:sz w:val="18"/>
          <w:szCs w:val="18"/>
        </w:rPr>
        <w:t xml:space="preserve"> Según se recoge en el PPT.</w:t>
      </w:r>
    </w:p>
    <w:p w14:paraId="6C96712A" w14:textId="5DDB3B0A" w:rsidR="004671DD" w:rsidRDefault="004671DD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74DBE1" w14:textId="77777777" w:rsidR="002560EA" w:rsidRDefault="002560EA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2805922" w14:textId="77777777" w:rsidR="004671DD" w:rsidRPr="00CC056C" w:rsidRDefault="004671DD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70E8575F" w14:textId="77777777" w:rsidR="004671DD" w:rsidRDefault="004671DD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27C90A1" w14:textId="77777777" w:rsidR="004671DD" w:rsidRDefault="004671DD" w:rsidP="004671D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C546E2" w14:textId="77777777" w:rsidR="004671DD" w:rsidRDefault="004671DD" w:rsidP="004671D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06E39DD" w14:textId="77777777" w:rsidR="004131F8" w:rsidRDefault="004131F8" w:rsidP="004671D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D569DCC" w14:textId="77777777" w:rsidR="004131F8" w:rsidRDefault="004131F8" w:rsidP="004671D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E218DA4" w14:textId="77777777" w:rsidR="004131F8" w:rsidRDefault="004131F8" w:rsidP="004671D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D4B8CAA" w14:textId="1843AE36" w:rsidR="004671DD" w:rsidRPr="004131F8" w:rsidRDefault="004671DD" w:rsidP="004131F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4671DD" w:rsidRPr="004131F8" w:rsidSect="002560EA">
      <w:headerReference w:type="default" r:id="rId8"/>
      <w:footerReference w:type="default" r:id="rId9"/>
      <w:pgSz w:w="11900" w:h="16840"/>
      <w:pgMar w:top="851" w:right="1670" w:bottom="993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F787B" w14:textId="77777777" w:rsidR="00E25732" w:rsidRDefault="00E25732" w:rsidP="006026D8">
      <w:pPr>
        <w:spacing w:line="240" w:lineRule="auto"/>
      </w:pPr>
      <w:r>
        <w:separator/>
      </w:r>
    </w:p>
  </w:endnote>
  <w:endnote w:type="continuationSeparator" w:id="0">
    <w:p w14:paraId="061FD146" w14:textId="77777777" w:rsidR="00E25732" w:rsidRDefault="00E25732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5A9DD" w14:textId="4874AF8B" w:rsidR="00117358" w:rsidRPr="004451F0" w:rsidRDefault="00117358" w:rsidP="00117358">
    <w:pPr>
      <w:spacing w:after="120" w:line="312" w:lineRule="auto"/>
      <w:ind w:left="-567" w:right="-871"/>
      <w:jc w:val="center"/>
      <w:rPr>
        <w:b/>
        <w:bCs/>
      </w:rPr>
    </w:pPr>
    <w:r>
      <w:rPr>
        <w:b/>
        <w:bCs/>
      </w:rPr>
      <w:t>ANEXO II PLAZOS DE ENTREGA</w:t>
    </w:r>
    <w:r w:rsidR="006F146C">
      <w:rPr>
        <w:b/>
        <w:bCs/>
      </w:rPr>
      <w:t xml:space="preserve"> PARA EL SUMINISTRO DE MATERIALES DE IMPRENTA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746B2" w14:textId="77777777" w:rsidR="00E25732" w:rsidRDefault="00E25732" w:rsidP="006026D8">
      <w:pPr>
        <w:spacing w:line="240" w:lineRule="auto"/>
      </w:pPr>
      <w:r>
        <w:separator/>
      </w:r>
    </w:p>
  </w:footnote>
  <w:footnote w:type="continuationSeparator" w:id="0">
    <w:p w14:paraId="73801743" w14:textId="77777777" w:rsidR="00E25732" w:rsidRDefault="00E25732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EBEECA0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223239">
    <w:abstractNumId w:val="6"/>
  </w:num>
  <w:num w:numId="2" w16cid:durableId="157775819">
    <w:abstractNumId w:val="9"/>
  </w:num>
  <w:num w:numId="3" w16cid:durableId="893546733">
    <w:abstractNumId w:val="4"/>
  </w:num>
  <w:num w:numId="4" w16cid:durableId="1875533765">
    <w:abstractNumId w:val="5"/>
  </w:num>
  <w:num w:numId="5" w16cid:durableId="185580476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65890985">
    <w:abstractNumId w:val="3"/>
  </w:num>
  <w:num w:numId="7" w16cid:durableId="766653642">
    <w:abstractNumId w:val="8"/>
  </w:num>
  <w:num w:numId="8" w16cid:durableId="1517957489">
    <w:abstractNumId w:val="1"/>
  </w:num>
  <w:num w:numId="9" w16cid:durableId="944114060">
    <w:abstractNumId w:val="2"/>
  </w:num>
  <w:num w:numId="10" w16cid:durableId="355883673">
    <w:abstractNumId w:val="1"/>
  </w:num>
  <w:num w:numId="11" w16cid:durableId="2134668599">
    <w:abstractNumId w:val="7"/>
  </w:num>
  <w:num w:numId="12" w16cid:durableId="7962226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070FD"/>
    <w:rsid w:val="00111930"/>
    <w:rsid w:val="001142CD"/>
    <w:rsid w:val="00116F06"/>
    <w:rsid w:val="00117358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87145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560EA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2D9A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147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1F8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1A53"/>
    <w:rsid w:val="004451F0"/>
    <w:rsid w:val="004470F9"/>
    <w:rsid w:val="004535F6"/>
    <w:rsid w:val="00460057"/>
    <w:rsid w:val="00462EA3"/>
    <w:rsid w:val="00463B17"/>
    <w:rsid w:val="004671DD"/>
    <w:rsid w:val="00472ADF"/>
    <w:rsid w:val="00486274"/>
    <w:rsid w:val="00490E02"/>
    <w:rsid w:val="00494A24"/>
    <w:rsid w:val="004A028A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1527"/>
    <w:rsid w:val="005B36F8"/>
    <w:rsid w:val="005B7A1F"/>
    <w:rsid w:val="005C00BA"/>
    <w:rsid w:val="005C253B"/>
    <w:rsid w:val="005D0359"/>
    <w:rsid w:val="005D3037"/>
    <w:rsid w:val="005E0854"/>
    <w:rsid w:val="005E1130"/>
    <w:rsid w:val="005F0346"/>
    <w:rsid w:val="005F0803"/>
    <w:rsid w:val="005F36DE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46C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C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54E2"/>
    <w:rsid w:val="00926462"/>
    <w:rsid w:val="0092649C"/>
    <w:rsid w:val="00930275"/>
    <w:rsid w:val="00934B18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6967"/>
    <w:rsid w:val="009D776B"/>
    <w:rsid w:val="009E00B3"/>
    <w:rsid w:val="009E1B30"/>
    <w:rsid w:val="009E1DED"/>
    <w:rsid w:val="009F1E29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1752"/>
    <w:rsid w:val="00A7089E"/>
    <w:rsid w:val="00A71065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C4C73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0264A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2A55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3616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0F56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1F5D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732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57213"/>
    <w:rsid w:val="00E60A7C"/>
    <w:rsid w:val="00E6113F"/>
    <w:rsid w:val="00E62942"/>
    <w:rsid w:val="00E633F1"/>
    <w:rsid w:val="00E64111"/>
    <w:rsid w:val="00E654C9"/>
    <w:rsid w:val="00E72A76"/>
    <w:rsid w:val="00E74185"/>
    <w:rsid w:val="00E75618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07C2"/>
    <w:rsid w:val="00EE44C0"/>
    <w:rsid w:val="00EE47CD"/>
    <w:rsid w:val="00EE512C"/>
    <w:rsid w:val="00EF4068"/>
    <w:rsid w:val="00F0534E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139E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4F9A"/>
    <w:rsid w:val="00FE5606"/>
    <w:rsid w:val="00FE61E7"/>
    <w:rsid w:val="00FF24CD"/>
    <w:rsid w:val="00FF2B21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3A214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2024-10-28T12:40:00Z</dcterms:created>
  <dcterms:modified xsi:type="dcterms:W3CDTF">2024-10-28T12:40:00Z</dcterms:modified>
</cp:coreProperties>
</file>